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6908" w14:textId="77777777" w:rsidR="00D55A45" w:rsidRPr="00C51970" w:rsidRDefault="00D55A45">
      <w:pPr>
        <w:rPr>
          <w:color w:val="E36C0A" w:themeColor="accent6" w:themeShade="BF"/>
        </w:rPr>
      </w:pPr>
      <w:r w:rsidRPr="00C51970">
        <w:rPr>
          <w:color w:val="E36C0A" w:themeColor="accent6" w:themeShade="BF"/>
        </w:rPr>
        <w:t>ŠKOLSKA ZADAĆA</w:t>
      </w:r>
    </w:p>
    <w:p w14:paraId="63460550" w14:textId="77777777" w:rsidR="00D55A45" w:rsidRDefault="00D55A45"/>
    <w:p w14:paraId="1046AAC1" w14:textId="77777777" w:rsidR="00D55A45" w:rsidRPr="00D55A45" w:rsidRDefault="00D55A45" w:rsidP="00D55A45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školska zadaća je unaprijed najavljena i planirana provjera znanja i vještina</w:t>
      </w:r>
    </w:p>
    <w:p w14:paraId="021155AE" w14:textId="77777777" w:rsidR="00D55A45" w:rsidRDefault="00D55A45" w:rsidP="00D55A45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najavljuje se vremenikom pisanih provjera</w:t>
      </w:r>
    </w:p>
    <w:p w14:paraId="6E10A416" w14:textId="77777777" w:rsidR="00D55A45" w:rsidRPr="00D55A45" w:rsidRDefault="00D55A45" w:rsidP="00D55A45">
      <w:pPr>
        <w:pStyle w:val="Odlomakpopisa"/>
        <w:ind w:left="360"/>
        <w:rPr>
          <w:sz w:val="22"/>
          <w:szCs w:val="22"/>
        </w:rPr>
      </w:pPr>
    </w:p>
    <w:p w14:paraId="0F73E2D3" w14:textId="77777777" w:rsidR="00D55A45" w:rsidRPr="00D55A45" w:rsidRDefault="00D55A45" w:rsidP="00D55A45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vrednuju se: ostvarenost teme, kompozicija, izvornost, povezanost rečenica, bogatstvo rječnika i stila, gramatička i pravopisna točnost, čitljivost i urednost, sadržajna razrađenost</w:t>
      </w:r>
    </w:p>
    <w:p w14:paraId="6BD16263" w14:textId="77777777" w:rsidR="00D55A45" w:rsidRDefault="00D55A45"/>
    <w:p w14:paraId="5AB85079" w14:textId="77777777" w:rsidR="005B7849" w:rsidRDefault="005B7849"/>
    <w:tbl>
      <w:tblPr>
        <w:tblpPr w:leftFromText="180" w:rightFromText="180" w:vertAnchor="text" w:horzAnchor="margin" w:tblpXSpec="center" w:tblpY="-72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663"/>
        <w:gridCol w:w="708"/>
      </w:tblGrid>
      <w:tr w:rsidR="005B7849" w14:paraId="37C17ED2" w14:textId="77777777" w:rsidTr="00186761">
        <w:tc>
          <w:tcPr>
            <w:tcW w:w="8700" w:type="dxa"/>
            <w:gridSpan w:val="3"/>
            <w:shd w:val="clear" w:color="auto" w:fill="FFD85B"/>
            <w:vAlign w:val="center"/>
          </w:tcPr>
          <w:p w14:paraId="6BF409FF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Vrednovanje školske zadaće</w:t>
            </w:r>
          </w:p>
          <w:p w14:paraId="0C3065E3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 w:rsidR="005B7849" w:rsidRPr="003F12BD" w14:paraId="34899A33" w14:textId="77777777" w:rsidTr="00186761">
        <w:tc>
          <w:tcPr>
            <w:tcW w:w="2329" w:type="dxa"/>
            <w:shd w:val="clear" w:color="auto" w:fill="FFD85B"/>
          </w:tcPr>
          <w:p w14:paraId="152B1176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elementi vrednovanja</w:t>
            </w:r>
          </w:p>
        </w:tc>
        <w:tc>
          <w:tcPr>
            <w:tcW w:w="5663" w:type="dxa"/>
          </w:tcPr>
          <w:p w14:paraId="3049A72C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9F0B8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  <w:t>b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odovi</w:t>
            </w:r>
          </w:p>
        </w:tc>
      </w:tr>
      <w:tr w:rsidR="005B7849" w14:paraId="04ADE52D" w14:textId="77777777" w:rsidTr="00186761">
        <w:tc>
          <w:tcPr>
            <w:tcW w:w="2329" w:type="dxa"/>
            <w:vMerge w:val="restart"/>
            <w:shd w:val="clear" w:color="auto" w:fill="FFD85B"/>
          </w:tcPr>
          <w:p w14:paraId="1DED68CD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37DA44E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OSTVARENOST TEME</w:t>
            </w:r>
          </w:p>
        </w:tc>
        <w:tc>
          <w:tcPr>
            <w:tcW w:w="5663" w:type="dxa"/>
          </w:tcPr>
          <w:p w14:paraId="4B9165B9" w14:textId="77777777" w:rsidR="005B7849" w:rsidRPr="001A69D3" w:rsidRDefault="005B7849" w:rsidP="005B7849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nije ostvarena</w:t>
            </w:r>
          </w:p>
        </w:tc>
        <w:tc>
          <w:tcPr>
            <w:tcW w:w="708" w:type="dxa"/>
          </w:tcPr>
          <w:p w14:paraId="23F838F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6D3515F5" w14:textId="77777777" w:rsidTr="00186761">
        <w:tc>
          <w:tcPr>
            <w:tcW w:w="2329" w:type="dxa"/>
            <w:vMerge/>
            <w:shd w:val="clear" w:color="auto" w:fill="FFD85B"/>
          </w:tcPr>
          <w:p w14:paraId="1E3D9E7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3CF591D3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tema je djelomično ostvarena </w:t>
            </w:r>
          </w:p>
        </w:tc>
        <w:tc>
          <w:tcPr>
            <w:tcW w:w="708" w:type="dxa"/>
          </w:tcPr>
          <w:p w14:paraId="33E82DE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7B76E210" w14:textId="77777777" w:rsidTr="00186761">
        <w:tc>
          <w:tcPr>
            <w:tcW w:w="2329" w:type="dxa"/>
            <w:vMerge/>
            <w:shd w:val="clear" w:color="auto" w:fill="FFD85B"/>
          </w:tcPr>
          <w:p w14:paraId="2898568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773D7DD8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tema je u potpunosti ostvarena</w:t>
            </w:r>
          </w:p>
        </w:tc>
        <w:tc>
          <w:tcPr>
            <w:tcW w:w="708" w:type="dxa"/>
          </w:tcPr>
          <w:p w14:paraId="0D11B5C4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4F608388" w14:textId="77777777" w:rsidTr="00186761">
        <w:tc>
          <w:tcPr>
            <w:tcW w:w="2329" w:type="dxa"/>
            <w:vMerge w:val="restart"/>
            <w:shd w:val="clear" w:color="auto" w:fill="FFD85B"/>
          </w:tcPr>
          <w:p w14:paraId="1ACB730E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0A09A1A7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KOMPOZICIJA</w:t>
            </w:r>
          </w:p>
        </w:tc>
        <w:tc>
          <w:tcPr>
            <w:tcW w:w="5663" w:type="dxa"/>
          </w:tcPr>
          <w:p w14:paraId="2E8B34AC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nesređena kompozicija</w:t>
            </w:r>
          </w:p>
        </w:tc>
        <w:tc>
          <w:tcPr>
            <w:tcW w:w="708" w:type="dxa"/>
          </w:tcPr>
          <w:p w14:paraId="2D707C6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18C5B5C4" w14:textId="77777777" w:rsidTr="00186761">
        <w:tc>
          <w:tcPr>
            <w:tcW w:w="2329" w:type="dxa"/>
            <w:vMerge/>
            <w:shd w:val="clear" w:color="auto" w:fill="FFD85B"/>
          </w:tcPr>
          <w:p w14:paraId="44A2E0A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379073BB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nedostaju dijelovi kompozicije</w:t>
            </w:r>
          </w:p>
        </w:tc>
        <w:tc>
          <w:tcPr>
            <w:tcW w:w="708" w:type="dxa"/>
          </w:tcPr>
          <w:p w14:paraId="3BB48E59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3C744E8D" w14:textId="77777777" w:rsidTr="00186761">
        <w:tc>
          <w:tcPr>
            <w:tcW w:w="2329" w:type="dxa"/>
            <w:vMerge/>
            <w:shd w:val="clear" w:color="auto" w:fill="FFD85B"/>
          </w:tcPr>
          <w:p w14:paraId="73DAD3FA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D030B5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kompozicija je u potpunosti ostvarena</w:t>
            </w:r>
          </w:p>
        </w:tc>
        <w:tc>
          <w:tcPr>
            <w:tcW w:w="708" w:type="dxa"/>
          </w:tcPr>
          <w:p w14:paraId="68D7DE34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6E5FCC5A" w14:textId="77777777" w:rsidTr="00186761">
        <w:tc>
          <w:tcPr>
            <w:tcW w:w="2329" w:type="dxa"/>
            <w:vMerge w:val="restart"/>
            <w:shd w:val="clear" w:color="auto" w:fill="FFD85B"/>
          </w:tcPr>
          <w:p w14:paraId="54F6530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08DB6120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IZVORNOST</w:t>
            </w:r>
          </w:p>
        </w:tc>
        <w:tc>
          <w:tcPr>
            <w:tcW w:w="5663" w:type="dxa"/>
          </w:tcPr>
          <w:p w14:paraId="6329C397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nije dostignuta</w:t>
            </w:r>
          </w:p>
        </w:tc>
        <w:tc>
          <w:tcPr>
            <w:tcW w:w="708" w:type="dxa"/>
          </w:tcPr>
          <w:p w14:paraId="5441762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495B762D" w14:textId="77777777" w:rsidTr="00186761">
        <w:tc>
          <w:tcPr>
            <w:tcW w:w="2329" w:type="dxa"/>
            <w:vMerge/>
            <w:shd w:val="clear" w:color="auto" w:fill="FFD85B"/>
          </w:tcPr>
          <w:p w14:paraId="6C2F8C6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772976D2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izvornost ostvarena u razradi nekih motiva</w:t>
            </w:r>
          </w:p>
        </w:tc>
        <w:tc>
          <w:tcPr>
            <w:tcW w:w="708" w:type="dxa"/>
          </w:tcPr>
          <w:p w14:paraId="0CC053CC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0AD3FE65" w14:textId="77777777" w:rsidTr="00186761">
        <w:tc>
          <w:tcPr>
            <w:tcW w:w="2329" w:type="dxa"/>
            <w:vMerge/>
            <w:shd w:val="clear" w:color="auto" w:fill="FFD85B"/>
          </w:tcPr>
          <w:p w14:paraId="54D1779C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02E67EA8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izvorno</w:t>
            </w:r>
          </w:p>
        </w:tc>
        <w:tc>
          <w:tcPr>
            <w:tcW w:w="708" w:type="dxa"/>
          </w:tcPr>
          <w:p w14:paraId="5F95A47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2D68655A" w14:textId="77777777" w:rsidTr="00186761">
        <w:tc>
          <w:tcPr>
            <w:tcW w:w="2329" w:type="dxa"/>
            <w:vMerge w:val="restart"/>
            <w:shd w:val="clear" w:color="auto" w:fill="FFD85B"/>
          </w:tcPr>
          <w:p w14:paraId="01D32EE7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1DBB0EF7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POVEZANOST RE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ENICA</w:t>
            </w:r>
          </w:p>
        </w:tc>
        <w:tc>
          <w:tcPr>
            <w:tcW w:w="5663" w:type="dxa"/>
          </w:tcPr>
          <w:p w14:paraId="2C39D24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nisu smisleno povezane</w:t>
            </w:r>
          </w:p>
        </w:tc>
        <w:tc>
          <w:tcPr>
            <w:tcW w:w="708" w:type="dxa"/>
          </w:tcPr>
          <w:p w14:paraId="4145CA23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50E16947" w14:textId="77777777" w:rsidTr="00186761">
        <w:tc>
          <w:tcPr>
            <w:tcW w:w="2329" w:type="dxa"/>
            <w:vMerge/>
            <w:shd w:val="clear" w:color="auto" w:fill="FFD85B"/>
          </w:tcPr>
          <w:p w14:paraId="1904EFDC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6D728D4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djelom smisleno povezane</w:t>
            </w:r>
          </w:p>
        </w:tc>
        <w:tc>
          <w:tcPr>
            <w:tcW w:w="708" w:type="dxa"/>
          </w:tcPr>
          <w:p w14:paraId="5EA3E6FD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09775630" w14:textId="77777777" w:rsidTr="00186761">
        <w:tc>
          <w:tcPr>
            <w:tcW w:w="2329" w:type="dxa"/>
            <w:vMerge/>
            <w:shd w:val="clear" w:color="auto" w:fill="FFD85B"/>
          </w:tcPr>
          <w:p w14:paraId="72909BD0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30B65E4B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rečenice su smislene i povezane</w:t>
            </w:r>
          </w:p>
        </w:tc>
        <w:tc>
          <w:tcPr>
            <w:tcW w:w="708" w:type="dxa"/>
          </w:tcPr>
          <w:p w14:paraId="5F4C3418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7E9ACCDB" w14:textId="77777777" w:rsidTr="00186761">
        <w:tc>
          <w:tcPr>
            <w:tcW w:w="2329" w:type="dxa"/>
            <w:vMerge w:val="restart"/>
            <w:shd w:val="clear" w:color="auto" w:fill="FFD85B"/>
          </w:tcPr>
          <w:p w14:paraId="42321E4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17C004B3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BOGATSTVO JEZIKA I STILA</w:t>
            </w:r>
          </w:p>
        </w:tc>
        <w:tc>
          <w:tcPr>
            <w:tcW w:w="5663" w:type="dxa"/>
          </w:tcPr>
          <w:p w14:paraId="3C811361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oskudnost i površnost u izražavanju</w:t>
            </w:r>
          </w:p>
        </w:tc>
        <w:tc>
          <w:tcPr>
            <w:tcW w:w="708" w:type="dxa"/>
          </w:tcPr>
          <w:p w14:paraId="3ED14D99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6FE2821F" w14:textId="77777777" w:rsidTr="00186761">
        <w:tc>
          <w:tcPr>
            <w:tcW w:w="2329" w:type="dxa"/>
            <w:vMerge/>
            <w:shd w:val="clear" w:color="auto" w:fill="FFD85B"/>
          </w:tcPr>
          <w:p w14:paraId="13B1EB71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BA20786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mali broj uobičajenih stilskih izražajnih sredstava</w:t>
            </w:r>
          </w:p>
        </w:tc>
        <w:tc>
          <w:tcPr>
            <w:tcW w:w="708" w:type="dxa"/>
          </w:tcPr>
          <w:p w14:paraId="02075F5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1239511D" w14:textId="77777777" w:rsidTr="00186761">
        <w:tc>
          <w:tcPr>
            <w:tcW w:w="2329" w:type="dxa"/>
            <w:vMerge/>
            <w:shd w:val="clear" w:color="auto" w:fill="FFD85B"/>
          </w:tcPr>
          <w:p w14:paraId="5FA6CB7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1CD84383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bogatstvo rječnika, izvorna stilska izražajna sredstva</w:t>
            </w:r>
          </w:p>
        </w:tc>
        <w:tc>
          <w:tcPr>
            <w:tcW w:w="708" w:type="dxa"/>
          </w:tcPr>
          <w:p w14:paraId="2FA2C3A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61E1168F" w14:textId="77777777" w:rsidTr="00186761">
        <w:tc>
          <w:tcPr>
            <w:tcW w:w="2329" w:type="dxa"/>
            <w:vMerge w:val="restart"/>
            <w:shd w:val="clear" w:color="auto" w:fill="FFD85B"/>
          </w:tcPr>
          <w:p w14:paraId="3BE97EC8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07B18FC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PRAVOPISNA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14:paraId="41E6A0D0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potpuna ili velika netočnost u pisanju riječi i rečenica</w:t>
            </w:r>
          </w:p>
        </w:tc>
        <w:tc>
          <w:tcPr>
            <w:tcW w:w="708" w:type="dxa"/>
          </w:tcPr>
          <w:p w14:paraId="47B41046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5CF685D1" w14:textId="77777777" w:rsidTr="00186761">
        <w:tc>
          <w:tcPr>
            <w:tcW w:w="2329" w:type="dxa"/>
            <w:vMerge/>
            <w:shd w:val="clear" w:color="auto" w:fill="FFD85B"/>
          </w:tcPr>
          <w:p w14:paraId="132B509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7FBF156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djelomična točnost u pisanju riječi i rečenica</w:t>
            </w:r>
          </w:p>
        </w:tc>
        <w:tc>
          <w:tcPr>
            <w:tcW w:w="708" w:type="dxa"/>
          </w:tcPr>
          <w:p w14:paraId="60A60AB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457B3925" w14:textId="77777777" w:rsidTr="00186761">
        <w:tc>
          <w:tcPr>
            <w:tcW w:w="2329" w:type="dxa"/>
            <w:vMerge/>
            <w:shd w:val="clear" w:color="auto" w:fill="FFD85B"/>
          </w:tcPr>
          <w:p w14:paraId="7878939D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44C3F56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točnost u pisanju riječi i rečenica</w:t>
            </w:r>
          </w:p>
        </w:tc>
        <w:tc>
          <w:tcPr>
            <w:tcW w:w="708" w:type="dxa"/>
          </w:tcPr>
          <w:p w14:paraId="2CAB5F7E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78FD242E" w14:textId="77777777" w:rsidTr="00186761">
        <w:tc>
          <w:tcPr>
            <w:tcW w:w="2329" w:type="dxa"/>
            <w:vMerge w:val="restart"/>
            <w:shd w:val="clear" w:color="auto" w:fill="FFD85B"/>
          </w:tcPr>
          <w:p w14:paraId="234C0826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36E16D20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GRAMATI</w:t>
            </w:r>
            <w:r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KA TO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NOST</w:t>
            </w:r>
          </w:p>
        </w:tc>
        <w:tc>
          <w:tcPr>
            <w:tcW w:w="5663" w:type="dxa"/>
          </w:tcPr>
          <w:p w14:paraId="01243DDE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pretežno ili u potpunosti netočan</w:t>
            </w:r>
          </w:p>
        </w:tc>
        <w:tc>
          <w:tcPr>
            <w:tcW w:w="708" w:type="dxa"/>
          </w:tcPr>
          <w:p w14:paraId="66662DE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112D298C" w14:textId="77777777" w:rsidTr="00186761">
        <w:tc>
          <w:tcPr>
            <w:tcW w:w="2329" w:type="dxa"/>
            <w:vMerge/>
            <w:shd w:val="clear" w:color="auto" w:fill="FFD85B"/>
          </w:tcPr>
          <w:p w14:paraId="2261F5C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31E4030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pretežno točan </w:t>
            </w:r>
          </w:p>
        </w:tc>
        <w:tc>
          <w:tcPr>
            <w:tcW w:w="708" w:type="dxa"/>
          </w:tcPr>
          <w:p w14:paraId="5A913F10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014C2FFD" w14:textId="77777777" w:rsidTr="00186761">
        <w:tc>
          <w:tcPr>
            <w:tcW w:w="2329" w:type="dxa"/>
            <w:vMerge/>
            <w:shd w:val="clear" w:color="auto" w:fill="FFD85B"/>
          </w:tcPr>
          <w:p w14:paraId="0C9FA672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63C11AEF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je potpuno točan </w:t>
            </w:r>
          </w:p>
        </w:tc>
        <w:tc>
          <w:tcPr>
            <w:tcW w:w="708" w:type="dxa"/>
          </w:tcPr>
          <w:p w14:paraId="02333385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79B2D010" w14:textId="77777777" w:rsidTr="00186761">
        <w:tc>
          <w:tcPr>
            <w:tcW w:w="2329" w:type="dxa"/>
            <w:vMerge w:val="restart"/>
            <w:shd w:val="clear" w:color="auto" w:fill="FFD85B"/>
          </w:tcPr>
          <w:p w14:paraId="62D9B901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SADRŽAJNA RAZRA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  <w:sz w:val="16"/>
                <w:szCs w:val="16"/>
              </w:rPr>
              <w:t>Đ</w:t>
            </w: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ENOST</w:t>
            </w:r>
          </w:p>
          <w:p w14:paraId="559B3FC3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ZADANOG PISANOG OBLIKA</w:t>
            </w:r>
          </w:p>
        </w:tc>
        <w:tc>
          <w:tcPr>
            <w:tcW w:w="5663" w:type="dxa"/>
          </w:tcPr>
          <w:p w14:paraId="3FE9F1DC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tekst nije sadržajno razrađen </w:t>
            </w:r>
          </w:p>
        </w:tc>
        <w:tc>
          <w:tcPr>
            <w:tcW w:w="708" w:type="dxa"/>
          </w:tcPr>
          <w:p w14:paraId="0CF04C7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35D38841" w14:textId="77777777" w:rsidTr="00186761">
        <w:tc>
          <w:tcPr>
            <w:tcW w:w="2329" w:type="dxa"/>
            <w:vMerge/>
            <w:shd w:val="clear" w:color="auto" w:fill="FFD85B"/>
          </w:tcPr>
          <w:p w14:paraId="5BE4FDA8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7AE3FC01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djelomično razrađen</w:t>
            </w:r>
          </w:p>
        </w:tc>
        <w:tc>
          <w:tcPr>
            <w:tcW w:w="708" w:type="dxa"/>
          </w:tcPr>
          <w:p w14:paraId="1747BABC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14F73E0C" w14:textId="77777777" w:rsidTr="00186761">
        <w:tc>
          <w:tcPr>
            <w:tcW w:w="2329" w:type="dxa"/>
            <w:vMerge/>
            <w:shd w:val="clear" w:color="auto" w:fill="FFD85B"/>
          </w:tcPr>
          <w:p w14:paraId="0F1EE3CF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F162689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tekst je sadržajno razrađen</w:t>
            </w:r>
          </w:p>
        </w:tc>
        <w:tc>
          <w:tcPr>
            <w:tcW w:w="708" w:type="dxa"/>
          </w:tcPr>
          <w:p w14:paraId="7FD1214B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38ADBC22" w14:textId="77777777" w:rsidTr="00186761">
        <w:tc>
          <w:tcPr>
            <w:tcW w:w="2329" w:type="dxa"/>
            <w:vMerge w:val="restart"/>
            <w:shd w:val="clear" w:color="auto" w:fill="FFD85B"/>
          </w:tcPr>
          <w:p w14:paraId="6C141950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  <w:p w14:paraId="5A1C12CA" w14:textId="77777777" w:rsidR="005B7849" w:rsidRPr="00D446E5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sz w:val="20"/>
                <w:szCs w:val="20"/>
              </w:rPr>
            </w:pPr>
            <w:r w:rsidRPr="00D446E5"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TEKSTOVNA VRSTA</w:t>
            </w:r>
          </w:p>
        </w:tc>
        <w:tc>
          <w:tcPr>
            <w:tcW w:w="5663" w:type="dxa"/>
          </w:tcPr>
          <w:p w14:paraId="0209ABA0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nisu vidljiva obilježja zadane tekstovne vrste</w:t>
            </w:r>
          </w:p>
        </w:tc>
        <w:tc>
          <w:tcPr>
            <w:tcW w:w="708" w:type="dxa"/>
          </w:tcPr>
          <w:p w14:paraId="4809BD3E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6601D1BE" w14:textId="77777777" w:rsidTr="00186761">
        <w:tc>
          <w:tcPr>
            <w:tcW w:w="2329" w:type="dxa"/>
            <w:vMerge/>
            <w:shd w:val="clear" w:color="auto" w:fill="FFD85B"/>
          </w:tcPr>
          <w:p w14:paraId="7C172F34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207AC957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neka obilježja zadane tekstovne vrste</w:t>
            </w:r>
          </w:p>
        </w:tc>
        <w:tc>
          <w:tcPr>
            <w:tcW w:w="708" w:type="dxa"/>
          </w:tcPr>
          <w:p w14:paraId="218AD45E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1216D3B2" w14:textId="77777777" w:rsidTr="00186761">
        <w:tc>
          <w:tcPr>
            <w:tcW w:w="2329" w:type="dxa"/>
            <w:vMerge/>
            <w:shd w:val="clear" w:color="auto" w:fill="FFD85B"/>
          </w:tcPr>
          <w:p w14:paraId="6ED85DAE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Times New Roman (TT) Regular" w:hAnsi="Times New Roman (TT) Regular" w:cs="Times New Roman (TT) Regular"/>
                <w:color w:val="000000"/>
                <w:sz w:val="18"/>
                <w:szCs w:val="18"/>
              </w:rPr>
            </w:pPr>
          </w:p>
        </w:tc>
        <w:tc>
          <w:tcPr>
            <w:tcW w:w="5663" w:type="dxa"/>
          </w:tcPr>
          <w:p w14:paraId="7D8EDF7B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vidljiva su obilježja zadane tekstovne vrste</w:t>
            </w:r>
          </w:p>
        </w:tc>
        <w:tc>
          <w:tcPr>
            <w:tcW w:w="708" w:type="dxa"/>
          </w:tcPr>
          <w:p w14:paraId="6D207AE0" w14:textId="77777777" w:rsidR="005B7849" w:rsidRPr="00D14EA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  <w:tr w:rsidR="005B7849" w14:paraId="1012A3DD" w14:textId="77777777" w:rsidTr="00186761">
        <w:tc>
          <w:tcPr>
            <w:tcW w:w="2329" w:type="dxa"/>
            <w:vMerge w:val="restart"/>
            <w:shd w:val="clear" w:color="auto" w:fill="FFD85B"/>
          </w:tcPr>
          <w:p w14:paraId="10C411EF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</w:p>
          <w:p w14:paraId="4CF0AF20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VANJŠTINA TEKSTA</w:t>
            </w:r>
          </w:p>
          <w:p w14:paraId="487B4C65" w14:textId="77777777" w:rsidR="005B7849" w:rsidRPr="00D446E5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</w:pPr>
            <w:r>
              <w:rPr>
                <w:rFonts w:ascii="High Tower Text" w:hAnsi="High Tower Text" w:cs="Times New Roman (TT) Regular"/>
                <w:color w:val="000000"/>
                <w:sz w:val="18"/>
                <w:szCs w:val="18"/>
              </w:rPr>
              <w:t>(UREDNOST I RUKOPIS)</w:t>
            </w:r>
          </w:p>
        </w:tc>
        <w:tc>
          <w:tcPr>
            <w:tcW w:w="5663" w:type="dxa"/>
          </w:tcPr>
          <w:p w14:paraId="3D2E9C81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 xml:space="preserve">tehnička obilježja rukopisa nisu izgrađena </w:t>
            </w:r>
          </w:p>
        </w:tc>
        <w:tc>
          <w:tcPr>
            <w:tcW w:w="708" w:type="dxa"/>
          </w:tcPr>
          <w:p w14:paraId="4036C439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0</w:t>
            </w:r>
          </w:p>
        </w:tc>
      </w:tr>
      <w:tr w:rsidR="005B7849" w14:paraId="1B4235B7" w14:textId="77777777" w:rsidTr="00186761">
        <w:tc>
          <w:tcPr>
            <w:tcW w:w="2329" w:type="dxa"/>
            <w:vMerge/>
            <w:shd w:val="clear" w:color="auto" w:fill="FFD85B"/>
          </w:tcPr>
          <w:p w14:paraId="36251101" w14:textId="77777777" w:rsidR="005B7849" w:rsidRPr="0029723C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14:paraId="470A2449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djelomično izgrađena tehnička obilježja rukopisa</w:t>
            </w:r>
          </w:p>
        </w:tc>
        <w:tc>
          <w:tcPr>
            <w:tcW w:w="708" w:type="dxa"/>
          </w:tcPr>
          <w:p w14:paraId="6B1EE4F3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</w:t>
            </w:r>
          </w:p>
        </w:tc>
      </w:tr>
      <w:tr w:rsidR="005B7849" w14:paraId="1C83005A" w14:textId="77777777" w:rsidTr="00186761">
        <w:tc>
          <w:tcPr>
            <w:tcW w:w="2329" w:type="dxa"/>
            <w:vMerge/>
            <w:shd w:val="clear" w:color="auto" w:fill="FFD85B"/>
          </w:tcPr>
          <w:p w14:paraId="561375A3" w14:textId="77777777" w:rsidR="005B7849" w:rsidRPr="0029723C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</w:p>
        </w:tc>
        <w:tc>
          <w:tcPr>
            <w:tcW w:w="5663" w:type="dxa"/>
          </w:tcPr>
          <w:p w14:paraId="4394C4FB" w14:textId="77777777" w:rsidR="005B7849" w:rsidRPr="001A69D3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textAlignment w:val="center"/>
              <w:rPr>
                <w:color w:val="000000"/>
                <w:sz w:val="20"/>
                <w:szCs w:val="20"/>
              </w:rPr>
            </w:pPr>
            <w:r w:rsidRPr="001A69D3">
              <w:rPr>
                <w:color w:val="000000"/>
                <w:sz w:val="20"/>
                <w:szCs w:val="20"/>
              </w:rPr>
              <w:t>izgrađena tehnička obilježja rukopisa</w:t>
            </w:r>
          </w:p>
        </w:tc>
        <w:tc>
          <w:tcPr>
            <w:tcW w:w="708" w:type="dxa"/>
          </w:tcPr>
          <w:p w14:paraId="3D55B810" w14:textId="77777777" w:rsidR="005B7849" w:rsidRDefault="005B7849" w:rsidP="005B7849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2</w:t>
            </w:r>
          </w:p>
        </w:tc>
      </w:tr>
    </w:tbl>
    <w:p w14:paraId="68B13B8F" w14:textId="77777777" w:rsidR="00E61DA6" w:rsidRDefault="00E61DA6"/>
    <w:p w14:paraId="7246C5FF" w14:textId="77777777" w:rsidR="00E61DA6" w:rsidRPr="00D55A45" w:rsidRDefault="00E61DA6" w:rsidP="00E61DA6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55A45">
        <w:rPr>
          <w:sz w:val="22"/>
          <w:szCs w:val="22"/>
        </w:rPr>
        <w:t>ocjena iz pisanih radova proizlazi iz ukupnog broja ostvarenih bodova</w:t>
      </w:r>
      <w:r w:rsidR="009646E6">
        <w:rPr>
          <w:sz w:val="22"/>
          <w:szCs w:val="22"/>
        </w:rPr>
        <w:t xml:space="preserve"> </w:t>
      </w:r>
      <w:r w:rsidRPr="00D55A45">
        <w:rPr>
          <w:sz w:val="22"/>
          <w:szCs w:val="22"/>
        </w:rPr>
        <w:t>(prema sastavnicama):</w:t>
      </w:r>
    </w:p>
    <w:p w14:paraId="2026BACE" w14:textId="77777777" w:rsidR="00D55A45" w:rsidRPr="00D55A45" w:rsidRDefault="00D55A45" w:rsidP="00D55A45"/>
    <w:tbl>
      <w:tblPr>
        <w:tblpPr w:leftFromText="180" w:rightFromText="180" w:vertAnchor="text" w:horzAnchor="margin" w:tblpY="185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102"/>
        <w:gridCol w:w="2102"/>
      </w:tblGrid>
      <w:tr w:rsidR="00D55A45" w14:paraId="18F9E446" w14:textId="77777777" w:rsidTr="00186761">
        <w:tc>
          <w:tcPr>
            <w:tcW w:w="2101" w:type="dxa"/>
            <w:shd w:val="clear" w:color="auto" w:fill="FFD85B"/>
          </w:tcPr>
          <w:p w14:paraId="08D92B5C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nedovoljan</w:t>
            </w:r>
          </w:p>
        </w:tc>
        <w:tc>
          <w:tcPr>
            <w:tcW w:w="2102" w:type="dxa"/>
            <w:shd w:val="clear" w:color="auto" w:fill="FFD85B"/>
          </w:tcPr>
          <w:p w14:paraId="0E611695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dovoljan</w:t>
            </w:r>
          </w:p>
        </w:tc>
        <w:tc>
          <w:tcPr>
            <w:tcW w:w="2102" w:type="dxa"/>
            <w:shd w:val="clear" w:color="auto" w:fill="FFD85B"/>
          </w:tcPr>
          <w:p w14:paraId="3DAC0169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dobar</w:t>
            </w:r>
          </w:p>
        </w:tc>
        <w:tc>
          <w:tcPr>
            <w:tcW w:w="2102" w:type="dxa"/>
            <w:shd w:val="clear" w:color="auto" w:fill="FFD85B"/>
          </w:tcPr>
          <w:p w14:paraId="0ABEE43A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vrlo dobar</w:t>
            </w:r>
          </w:p>
        </w:tc>
        <w:tc>
          <w:tcPr>
            <w:tcW w:w="2102" w:type="dxa"/>
            <w:shd w:val="clear" w:color="auto" w:fill="FFD85B"/>
          </w:tcPr>
          <w:p w14:paraId="584638B2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odli</w:t>
            </w:r>
            <w:r w:rsidRPr="00D14EA9">
              <w:rPr>
                <w:rFonts w:ascii="Times New Roman (TT) Regular" w:hAnsi="Times New Roman (TT) Regular" w:cs="Times New Roman (TT) Regular"/>
                <w:color w:val="000000"/>
              </w:rPr>
              <w:t>č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an</w:t>
            </w:r>
          </w:p>
        </w:tc>
      </w:tr>
      <w:tr w:rsidR="00D55A45" w14:paraId="0B455EBD" w14:textId="77777777" w:rsidTr="009B6296">
        <w:tc>
          <w:tcPr>
            <w:tcW w:w="2101" w:type="dxa"/>
          </w:tcPr>
          <w:p w14:paraId="45B72294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0-</w:t>
            </w:r>
            <w:r>
              <w:rPr>
                <w:rFonts w:ascii="High Tower Text" w:hAnsi="High Tower Text" w:cs="Times New Roman (TT) Regular"/>
                <w:color w:val="000000"/>
              </w:rPr>
              <w:t>9</w:t>
            </w:r>
          </w:p>
        </w:tc>
        <w:tc>
          <w:tcPr>
            <w:tcW w:w="2102" w:type="dxa"/>
          </w:tcPr>
          <w:p w14:paraId="1DB656BE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10</w:t>
            </w:r>
            <w:r>
              <w:rPr>
                <w:rFonts w:ascii="High Tower Text" w:hAnsi="High Tower Text" w:cs="Times New Roman (TT) Regular"/>
                <w:color w:val="000000"/>
              </w:rPr>
              <w:t>-12</w:t>
            </w:r>
          </w:p>
        </w:tc>
        <w:tc>
          <w:tcPr>
            <w:tcW w:w="2102" w:type="dxa"/>
          </w:tcPr>
          <w:p w14:paraId="772A7BBB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3-15</w:t>
            </w:r>
          </w:p>
        </w:tc>
        <w:tc>
          <w:tcPr>
            <w:tcW w:w="2102" w:type="dxa"/>
          </w:tcPr>
          <w:p w14:paraId="33D9A46E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 w:rsidRPr="00D14EA9">
              <w:rPr>
                <w:rFonts w:ascii="High Tower Text" w:hAnsi="High Tower Text" w:cs="Times New Roman (TT) Regular"/>
                <w:color w:val="000000"/>
              </w:rPr>
              <w:t>1</w:t>
            </w:r>
            <w:r>
              <w:rPr>
                <w:rFonts w:ascii="High Tower Text" w:hAnsi="High Tower Text" w:cs="Times New Roman (TT) Regular"/>
                <w:color w:val="000000"/>
              </w:rPr>
              <w:t>6-17</w:t>
            </w:r>
          </w:p>
        </w:tc>
        <w:tc>
          <w:tcPr>
            <w:tcW w:w="2102" w:type="dxa"/>
          </w:tcPr>
          <w:p w14:paraId="3F85CE3A" w14:textId="77777777" w:rsidR="00D55A45" w:rsidRPr="00D14EA9" w:rsidRDefault="00D55A45" w:rsidP="009B6296">
            <w:pPr>
              <w:pStyle w:val="Odlomakpopisa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jc w:val="center"/>
              <w:textAlignment w:val="center"/>
              <w:rPr>
                <w:rFonts w:ascii="High Tower Text" w:hAnsi="High Tower Text" w:cs="Times New Roman (TT) Regular"/>
                <w:color w:val="000000"/>
              </w:rPr>
            </w:pPr>
            <w:r>
              <w:rPr>
                <w:rFonts w:ascii="High Tower Text" w:hAnsi="High Tower Text" w:cs="Times New Roman (TT) Regular"/>
                <w:color w:val="000000"/>
              </w:rPr>
              <w:t>18</w:t>
            </w:r>
            <w:r w:rsidRPr="00D14EA9">
              <w:rPr>
                <w:rFonts w:ascii="High Tower Text" w:hAnsi="High Tower Text" w:cs="Times New Roman (TT) Regular"/>
                <w:color w:val="000000"/>
              </w:rPr>
              <w:t>-</w:t>
            </w:r>
            <w:r>
              <w:rPr>
                <w:rFonts w:ascii="High Tower Text" w:hAnsi="High Tower Text" w:cs="Times New Roman (TT) Regular"/>
                <w:color w:val="000000"/>
              </w:rPr>
              <w:t>20</w:t>
            </w:r>
          </w:p>
        </w:tc>
      </w:tr>
    </w:tbl>
    <w:p w14:paraId="7F504010" w14:textId="77777777" w:rsidR="00D55A45" w:rsidRDefault="00D55A45" w:rsidP="00D55A45"/>
    <w:p w14:paraId="44B6A9FC" w14:textId="77777777" w:rsidR="00D55A45" w:rsidRDefault="00D55A45" w:rsidP="00D55A45"/>
    <w:p w14:paraId="2EA41246" w14:textId="77777777" w:rsidR="00D55A45" w:rsidRDefault="00D55A45" w:rsidP="00D55A45">
      <w:pPr>
        <w:pStyle w:val="Odlomakpopisa"/>
        <w:numPr>
          <w:ilvl w:val="0"/>
          <w:numId w:val="2"/>
        </w:numPr>
      </w:pPr>
      <w:r>
        <w:t>uz ocjene i bodovanje prema sastavnicama učenici dobivaju kratku, jasnu i poticajnu uputu koja potiče  razvoj pismenosti</w:t>
      </w:r>
    </w:p>
    <w:p w14:paraId="675DC638" w14:textId="77777777" w:rsidR="00D55A45" w:rsidRPr="00D55A45" w:rsidRDefault="00D55A45" w:rsidP="00D55A45"/>
    <w:sectPr w:rsidR="00D55A45" w:rsidRPr="00D55A45" w:rsidSect="00D55A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E865" w14:textId="77777777" w:rsidR="00237214" w:rsidRDefault="00237214" w:rsidP="00D55A45">
      <w:r>
        <w:separator/>
      </w:r>
    </w:p>
  </w:endnote>
  <w:endnote w:type="continuationSeparator" w:id="0">
    <w:p w14:paraId="53C87614" w14:textId="77777777" w:rsidR="00237214" w:rsidRDefault="00237214" w:rsidP="00D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T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AF83" w14:textId="77777777" w:rsidR="00237214" w:rsidRDefault="00237214" w:rsidP="00D55A45">
      <w:r>
        <w:separator/>
      </w:r>
    </w:p>
  </w:footnote>
  <w:footnote w:type="continuationSeparator" w:id="0">
    <w:p w14:paraId="55266AE0" w14:textId="77777777" w:rsidR="00237214" w:rsidRDefault="00237214" w:rsidP="00D5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012F"/>
    <w:multiLevelType w:val="hybridMultilevel"/>
    <w:tmpl w:val="35BE0BCC"/>
    <w:lvl w:ilvl="0" w:tplc="ED2E9FD8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34B564D"/>
    <w:multiLevelType w:val="hybridMultilevel"/>
    <w:tmpl w:val="0EBA65F0"/>
    <w:lvl w:ilvl="0" w:tplc="1292CE4C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E36C0A" w:themeColor="accent6" w:themeShade="BF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72B"/>
    <w:rsid w:val="001749D3"/>
    <w:rsid w:val="00186761"/>
    <w:rsid w:val="001A69D3"/>
    <w:rsid w:val="001D0425"/>
    <w:rsid w:val="00237214"/>
    <w:rsid w:val="00551CF8"/>
    <w:rsid w:val="005B7849"/>
    <w:rsid w:val="009646E6"/>
    <w:rsid w:val="00A62A58"/>
    <w:rsid w:val="00AF6E52"/>
    <w:rsid w:val="00C51970"/>
    <w:rsid w:val="00C723D8"/>
    <w:rsid w:val="00D5598D"/>
    <w:rsid w:val="00D55A45"/>
    <w:rsid w:val="00DC3022"/>
    <w:rsid w:val="00E61DA6"/>
    <w:rsid w:val="00FB2A41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FE82"/>
  <w15:docId w15:val="{B18B3844-E32A-4EE9-A963-BC3DE401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72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55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5A4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Latin</cp:lastModifiedBy>
  <cp:revision>10</cp:revision>
  <dcterms:created xsi:type="dcterms:W3CDTF">2019-07-17T11:05:00Z</dcterms:created>
  <dcterms:modified xsi:type="dcterms:W3CDTF">2021-07-15T08:38:00Z</dcterms:modified>
</cp:coreProperties>
</file>